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80" w:rsidRDefault="00F63D80" w:rsidP="004841F2">
      <w:pPr>
        <w:pStyle w:val="Footer"/>
        <w:tabs>
          <w:tab w:val="clear" w:pos="9360"/>
          <w:tab w:val="right" w:pos="9990"/>
        </w:tabs>
        <w:ind w:left="-720" w:right="-630"/>
        <w:jc w:val="both"/>
        <w:rPr>
          <w:rFonts w:ascii="Times New Roman" w:hAnsi="Times New Roman"/>
          <w:sz w:val="20"/>
          <w:szCs w:val="20"/>
        </w:rPr>
      </w:pPr>
      <w:r w:rsidRPr="0088492D">
        <w:rPr>
          <w:rFonts w:ascii="Times New Roman" w:hAnsi="Times New Roman"/>
          <w:b/>
          <w:sz w:val="20"/>
          <w:szCs w:val="20"/>
        </w:rPr>
        <w:t>Instructions:</w:t>
      </w:r>
      <w:r w:rsidRPr="008849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All procedures listed below are required for interim visits conducted at the research clinic. When performed, </w:t>
      </w:r>
      <w:r w:rsidRPr="00337617">
        <w:rPr>
          <w:rFonts w:ascii="Times New Roman" w:hAnsi="Times New Roman"/>
          <w:sz w:val="20"/>
          <w:szCs w:val="20"/>
        </w:rPr>
        <w:t>complete</w:t>
      </w:r>
      <w:r>
        <w:rPr>
          <w:rFonts w:ascii="Times New Roman" w:hAnsi="Times New Roman"/>
          <w:sz w:val="20"/>
          <w:szCs w:val="20"/>
        </w:rPr>
        <w:t xml:space="preserve"> “S</w:t>
      </w:r>
      <w:r w:rsidRPr="00337617"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0"/>
          <w:szCs w:val="20"/>
        </w:rPr>
        <w:t>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93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6238"/>
        <w:gridCol w:w="918"/>
        <w:gridCol w:w="2952"/>
      </w:tblGrid>
      <w:tr w:rsidR="006D54FA" w:rsidRPr="0087302D" w:rsidTr="006D54FA">
        <w:trPr>
          <w:trHeight w:val="300"/>
          <w:tblHeader/>
        </w:trPr>
        <w:tc>
          <w:tcPr>
            <w:tcW w:w="10620" w:type="dxa"/>
            <w:gridSpan w:val="4"/>
            <w:tcBorders>
              <w:top w:val="single" w:sz="4" w:space="0" w:color="auto"/>
            </w:tcBorders>
            <w:shd w:val="clear" w:color="auto" w:fill="E5B8B7" w:themeFill="accent2" w:themeFillTint="66"/>
            <w:noWrap/>
          </w:tcPr>
          <w:p w:rsidR="006D54FA" w:rsidRDefault="006D54FA" w:rsidP="004F0462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Interim</w:t>
            </w:r>
            <w:r w:rsidRPr="003F7805">
              <w:rPr>
                <w:b/>
              </w:rPr>
              <w:t xml:space="preserve"> Visit Checklist</w:t>
            </w:r>
          </w:p>
        </w:tc>
      </w:tr>
      <w:tr w:rsidR="00F63D80" w:rsidRPr="0087302D" w:rsidTr="006D54FA">
        <w:trPr>
          <w:trHeight w:val="300"/>
          <w:tblHeader/>
        </w:trPr>
        <w:tc>
          <w:tcPr>
            <w:tcW w:w="6750" w:type="dxa"/>
            <w:gridSpan w:val="2"/>
            <w:tcBorders>
              <w:top w:val="single" w:sz="4" w:space="0" w:color="auto"/>
            </w:tcBorders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 </w:t>
            </w:r>
            <w:r w:rsidRPr="003B279B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F63D80" w:rsidRDefault="00F63D80" w:rsidP="0052409A">
            <w:pPr>
              <w:spacing w:after="0" w:line="240" w:lineRule="auto"/>
              <w:ind w:left="-108" w:firstLine="1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bottom"/>
          </w:tcPr>
          <w:p w:rsidR="00F63D80" w:rsidRDefault="00F63D80" w:rsidP="006D54FA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</w:t>
            </w:r>
            <w:r w:rsidR="006D54FA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F63D80" w:rsidRPr="0087302D" w:rsidTr="0052409A">
        <w:trPr>
          <w:trHeight w:val="450"/>
        </w:trPr>
        <w:tc>
          <w:tcPr>
            <w:tcW w:w="512" w:type="dxa"/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23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Confirm identity and PTID per site SOPs.  </w:t>
            </w:r>
          </w:p>
        </w:tc>
        <w:tc>
          <w:tcPr>
            <w:tcW w:w="91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D80" w:rsidRPr="0087302D" w:rsidTr="0052409A">
        <w:trPr>
          <w:trHeight w:val="458"/>
        </w:trPr>
        <w:tc>
          <w:tcPr>
            <w:tcW w:w="512" w:type="dxa"/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238" w:type="dxa"/>
          </w:tcPr>
          <w:p w:rsidR="00F63D80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procedures as indicated based on reason for interim visit (specify):</w:t>
            </w:r>
          </w:p>
          <w:p w:rsidR="00F63D80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63D80" w:rsidRPr="003B279B" w:rsidRDefault="00F63D80" w:rsidP="004F0462">
            <w:pPr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91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D80" w:rsidRPr="0087302D" w:rsidTr="0052409A">
        <w:trPr>
          <w:trHeight w:val="710"/>
        </w:trPr>
        <w:tc>
          <w:tcPr>
            <w:tcW w:w="512" w:type="dxa"/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23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scheduling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of </w:t>
            </w:r>
            <w:r w:rsidRPr="003B279B">
              <w:rPr>
                <w:rFonts w:cs="Calibri"/>
                <w:color w:val="000000"/>
              </w:rPr>
              <w:t>next visit. Provide contact information and instructions to report symptoms and/or request information, counseling, a new ring, or condoms before next visit.</w:t>
            </w:r>
          </w:p>
        </w:tc>
        <w:tc>
          <w:tcPr>
            <w:tcW w:w="91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D80" w:rsidRPr="0087302D" w:rsidTr="0052409A">
        <w:trPr>
          <w:trHeight w:val="440"/>
        </w:trPr>
        <w:tc>
          <w:tcPr>
            <w:tcW w:w="512" w:type="dxa"/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23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  <w:r>
              <w:rPr>
                <w:rFonts w:cs="Calibri"/>
                <w:color w:val="000000"/>
              </w:rPr>
              <w:t xml:space="preserve"> as needed/indicated</w:t>
            </w:r>
          </w:p>
        </w:tc>
        <w:tc>
          <w:tcPr>
            <w:tcW w:w="91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D80" w:rsidRPr="0087302D" w:rsidTr="0052409A">
        <w:trPr>
          <w:trHeight w:val="350"/>
        </w:trPr>
        <w:tc>
          <w:tcPr>
            <w:tcW w:w="512" w:type="dxa"/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238" w:type="dxa"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QC to e</w:t>
            </w:r>
            <w:r w:rsidRPr="003B279B">
              <w:rPr>
                <w:rFonts w:cs="Calibri"/>
                <w:color w:val="000000"/>
              </w:rPr>
              <w:t>nsure chart notes and all other required visit documentation is complete.</w:t>
            </w:r>
          </w:p>
        </w:tc>
        <w:tc>
          <w:tcPr>
            <w:tcW w:w="918" w:type="dxa"/>
          </w:tcPr>
          <w:p w:rsidR="00F63D80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:rsidR="00F63D80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D80" w:rsidRPr="0087302D" w:rsidTr="0052409A">
        <w:trPr>
          <w:trHeight w:val="440"/>
        </w:trPr>
        <w:tc>
          <w:tcPr>
            <w:tcW w:w="512" w:type="dxa"/>
            <w:tcBorders>
              <w:bottom w:val="single" w:sz="4" w:space="0" w:color="auto"/>
            </w:tcBorders>
            <w:noWrap/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Fax Visit Summary CRF and any new or updated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F63D80" w:rsidRPr="003B279B" w:rsidRDefault="00F63D80" w:rsidP="004F04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F63D80" w:rsidRDefault="00F63D80">
      <w:bookmarkStart w:id="0" w:name="_GoBack"/>
      <w:bookmarkEnd w:id="0"/>
    </w:p>
    <w:sectPr w:rsidR="00F63D80" w:rsidSect="0052409A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80" w:rsidRDefault="00F63D80" w:rsidP="004F0462">
      <w:pPr>
        <w:spacing w:after="0" w:line="240" w:lineRule="auto"/>
      </w:pPr>
      <w:r>
        <w:separator/>
      </w:r>
    </w:p>
  </w:endnote>
  <w:endnote w:type="continuationSeparator" w:id="0">
    <w:p w:rsidR="00F63D80" w:rsidRDefault="00F63D80" w:rsidP="004F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0" w:rsidRDefault="00F63D80" w:rsidP="00E11E42">
    <w:pPr>
      <w:pStyle w:val="Footer"/>
    </w:pPr>
    <w:r>
      <w:rPr>
        <w:sz w:val="18"/>
        <w:szCs w:val="18"/>
      </w:rPr>
      <w:t>MTN-020 Interim Visit Checklist – Version 1.0</w:t>
    </w:r>
    <w:r>
      <w:rPr>
        <w:sz w:val="18"/>
        <w:szCs w:val="18"/>
      </w:rPr>
      <w:tab/>
    </w:r>
    <w:r>
      <w:rPr>
        <w:sz w:val="18"/>
        <w:szCs w:val="18"/>
      </w:rPr>
      <w:tab/>
      <w:t>1 May 2012</w:t>
    </w:r>
  </w:p>
  <w:p w:rsidR="00F63D80" w:rsidRPr="00E11E42" w:rsidRDefault="00F63D80" w:rsidP="00E11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80" w:rsidRDefault="00F63D80" w:rsidP="004F0462">
      <w:pPr>
        <w:spacing w:after="0" w:line="240" w:lineRule="auto"/>
      </w:pPr>
      <w:r>
        <w:separator/>
      </w:r>
    </w:p>
  </w:footnote>
  <w:footnote w:type="continuationSeparator" w:id="0">
    <w:p w:rsidR="00F63D80" w:rsidRDefault="00F63D80" w:rsidP="004F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0" w:rsidRDefault="00F63D80" w:rsidP="004F0462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Month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  <w:p w:rsidR="00F63D80" w:rsidRDefault="00F63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E37"/>
    <w:rsid w:val="0002435A"/>
    <w:rsid w:val="001A6E37"/>
    <w:rsid w:val="001F260A"/>
    <w:rsid w:val="002E2558"/>
    <w:rsid w:val="002F155A"/>
    <w:rsid w:val="00337617"/>
    <w:rsid w:val="003B279B"/>
    <w:rsid w:val="004841F2"/>
    <w:rsid w:val="004F0462"/>
    <w:rsid w:val="0052409A"/>
    <w:rsid w:val="006113D0"/>
    <w:rsid w:val="006D54FA"/>
    <w:rsid w:val="00756A6C"/>
    <w:rsid w:val="0087302D"/>
    <w:rsid w:val="0088492D"/>
    <w:rsid w:val="00E11E42"/>
    <w:rsid w:val="00EE77A7"/>
    <w:rsid w:val="00F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6E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A6E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6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6E3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E3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260A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60A"/>
  </w:style>
  <w:style w:type="paragraph" w:styleId="Footer">
    <w:name w:val="footer"/>
    <w:basedOn w:val="Normal"/>
    <w:link w:val="FooterChar"/>
    <w:uiPriority w:val="99"/>
    <w:rsid w:val="0048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41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04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>FHI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Mayo (US - NC)</dc:creator>
  <cp:keywords/>
  <dc:description/>
  <cp:lastModifiedBy>Katie Schwartz (US - NC)</cp:lastModifiedBy>
  <cp:revision>4</cp:revision>
  <dcterms:created xsi:type="dcterms:W3CDTF">2012-05-01T19:31:00Z</dcterms:created>
  <dcterms:modified xsi:type="dcterms:W3CDTF">2012-05-03T17:42:00Z</dcterms:modified>
</cp:coreProperties>
</file>